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E1" w:rsidRDefault="002D3E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ЗАТВЕРДЖУЮ</w:t>
      </w:r>
    </w:p>
    <w:p w:rsidR="008240E1" w:rsidRDefault="002D3E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Міський голова </w:t>
      </w:r>
    </w:p>
    <w:p w:rsidR="008240E1" w:rsidRDefault="002D3E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 </w:t>
      </w:r>
      <w:proofErr w:type="spellStart"/>
      <w:r>
        <w:rPr>
          <w:sz w:val="28"/>
          <w:szCs w:val="28"/>
          <w:lang w:val="uk-UA"/>
        </w:rPr>
        <w:t>Л.Ткаченко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40E1" w:rsidRDefault="002D3E0F">
      <w:pPr>
        <w:tabs>
          <w:tab w:val="left" w:pos="58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_________ 2021 року</w:t>
      </w:r>
    </w:p>
    <w:p w:rsidR="008240E1" w:rsidRDefault="008240E1">
      <w:pPr>
        <w:rPr>
          <w:lang w:val="uk-UA"/>
        </w:rPr>
      </w:pPr>
    </w:p>
    <w:p w:rsidR="008240E1" w:rsidRDefault="008240E1">
      <w:pPr>
        <w:rPr>
          <w:lang w:val="uk-UA"/>
        </w:rPr>
      </w:pPr>
    </w:p>
    <w:p w:rsidR="008240E1" w:rsidRDefault="008240E1">
      <w:pPr>
        <w:rPr>
          <w:lang w:val="uk-UA"/>
        </w:rPr>
      </w:pPr>
    </w:p>
    <w:p w:rsidR="008240E1" w:rsidRDefault="008240E1">
      <w:pPr>
        <w:rPr>
          <w:lang w:val="uk-UA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ПОСАДОВА ІНСТРУКЦІЯ</w:t>
      </w:r>
    </w:p>
    <w:p w:rsidR="008240E1" w:rsidRDefault="002D3E0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головного спеціаліста ві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дділу ведення Державного реєстру виборів </w:t>
      </w:r>
    </w:p>
    <w:p w:rsidR="008240E1" w:rsidRDefault="002D3E0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Новгород-Сіверської міської ради</w:t>
      </w:r>
    </w:p>
    <w:p w:rsidR="008240E1" w:rsidRDefault="008240E1">
      <w:pPr>
        <w:jc w:val="center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Загальні положення</w:t>
      </w:r>
    </w:p>
    <w:p w:rsidR="008240E1" w:rsidRDefault="008240E1">
      <w:pPr>
        <w:jc w:val="center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Основною метою діяльності головного спеціаліста відділу ведення Державного реєстру виборців Новгород-Сіверської міської ради є — ведення Державного реєст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ру виборців (далі — Реєстр), до якого вносяться відомості про громадян України, що мають право голосу до статті 70 Конституції України (далі — виборці) і проживають або перебувають на території міста Новгород-Сіверський, а також які проживають або перебува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ють за межами України, складання та уточнення списків виборців для проведення виборів і референдумів.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спеціаліст відділу ведення Державного реєстру виборців міської ради призначається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на посаду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звільняється з посади Новгород-Сіверським міськ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им головою, відповідно до встановленого законодавством порядку.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На посаду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головного спеціаліста відділу ведення Державного реєстру виборців Новгород-Сіверської міської ради призначається особа з повною вищою освітою не нижче ступеня бакалавра, вільним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володінням державною мовою, без вимог до стажу роботи.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спеціаліст відділу ведення Державного реєстрі виборців Новгород-Сіверської міської ради у своїй роботі безпосередньо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підпорідковується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міському голові Новгород-Сіверської міської ради, сек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ретарю міської ради та начальнику відділу.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своїй роботі головний спеціаліст відділу ведення Державного реєстру виборців Новгород-Сіверської міської ради керується Конституцією України та законами України, актами Президента України та Кабінету Міністрі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 України, Центральної виборчої комісії, Міністерства закордонних справ України, Пади міністрів Автономної Республіки Крим, розпорядженнями голови державної адміністрації та міського голови, а також Положенням про відділ.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Завдання та обов’язки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 відділу ведення Державного реєстру виборців Новгород-Сіверської міської ради:</w:t>
      </w:r>
    </w:p>
    <w:p w:rsidR="008240E1" w:rsidRDefault="002D3E0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2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забезпечує: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ведення Реєстру, що передбачає здійснення організаційно-правової підготовки та виконання в режимі записування таких дій: внесення запису про 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иборця до бази даних Реєстру (персональні дані Реєстру); знищення запису Реєстру на підставі і у спосіб, що встановлені Законом України “Про Державний Реєстр виборців” (далі Закон) та рішенням розпорядника Реєстру, прийняти згідно Закону, з використанням 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ізуального та автоматизованого контролю за повнотою та коректністю персональних даних;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захист Реєстру під час його ведення, в тому числі дотримання вимог функціонування комплексної системи захисту інформації в автоматизованій інформаційно-телекомунікаційн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ій системі “Державний реєстр виборців” відповідно до законодавства;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разі призначення виборів чи референдумів складання, уточнення та виготовлення списків виборців на виборчих дільницях, дільницях референдуму відповідно до законодавства;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ведення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номенклатури справ, діловодства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відділі,упорядковує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справи необхідними матеріалами;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здійснює: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періодичне поновлення, а також уточнення персональних даних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заходи щодо тимчасової зміни місця голосування виборця без зміни його виборчої адреси ві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дповідно до законодавства;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облік виборчих дільниць, що існують на постійній основі;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налаштування та супроводження програмного і технічного забезпечення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інші функції відповідно до законодавства, необхідні для виконання покладених на нього завдан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ь;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веде облік усіх дій щодо зміни бази даних Реєстру в порядку та за формою, встановленою розпорядником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вносить: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 Реєстру дані про номери і межі одномандатних, територіальних виборчих округів після отримання від територіальних виборчих комісі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й рішення про утворення таких округів;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надає: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письмовий запит виборця, поданий у встановленому Законом порядку, відповідну інформацію з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необхідну інформацію на запит суду стосовно уточнення відомостей про виборця у зв’язку з розглядом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адміністративної справи щодо уточнення списку виборців;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 установленому законом порядку статистичну інформацію про кількісні характеристики виборчого корпусу на підставі відомостей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надсилає: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виборчу адресу виборця повідомлення про його включ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ення до Реєстру за формою, встановленою розпорядником Реєстру;</w:t>
      </w:r>
    </w:p>
    <w:p w:rsidR="008240E1" w:rsidRDefault="008240E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3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виборчу адресу виборця повідомлення про внесення змін до його персональних даних, внесених до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проводить: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разі потреби перевірки відомостей про особу, зазначених у заяві про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включення до Реєстру чи зміну її персональних даних, внесених до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перевірки звернень політичних партій, розглядає запити виборчих комісій у  встановленому порядку;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перевірку некоректних відомостей Реєстру, виявлених розпорядником Реєстру;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вигото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вляє іменні запрошення виборцям на вибори чи референдуми у випадках, передбачених законом;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визначає на підставі відомостей про виборчу адресу виборця номер виборчого округу, округу з референдуму (зазначає закордонний округ) та номер виборчої дільниці, діл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ьниці референдуму, до яких відноситься виборець;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 установленому законом порядку розглядає звернення громадян з питань, пов’язаних з його діяльністю;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отримує від дільничних виборчих комісій відомості про зміни, внесені ними до уточнених списків виборців,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опрацювання в установленому Законом порядку;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передає до Центральної виборчої комісії зміст рішень та повідомлення виборчих комісій у передбачених законодавством випадках;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формує подання до Центральної виборчої комісії щодо виборчих дільниць, які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існують на постійній основі, за наданими суб’єктами їх внесення відомостями;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разом з іншими працівниками відділу готує документи для здачі їх в архів.  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Права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 відділу ведення Державного реєстру виборців міської ради має право: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представляти міську раду в інших управлінських структурах з питань, що входять до його компетенції;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у встановленому порядку отримувати від державних органів виконавчої влади, підприємств, установ, організацій, громадських об’єднань, необхідні та оператив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ні дані, звіти з питань, що стосуються діяльності відділу;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залучати фахівців структурних підрозділів міської ради, підвідомчих підприємств та організацій за погодженням з їх керівниками, при розгляді питань, що входять до його компетенції;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готувати у вст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ановленому порядку запити на отримання від підрозділів міської ради, підприємств та установ інформацію, документи та інші матеріали, необхідні для виконання покладених на відділ завдань; </w:t>
      </w:r>
    </w:p>
    <w:p w:rsidR="008240E1" w:rsidRDefault="008240E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240E1" w:rsidRDefault="008240E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4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3E0F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здійснювати особистий прийом громадян з питань, що стосуються 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іяльності відділу та вживати заходів щодо своєчасного розгляду їх пропозицій, заяв, скарг;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3E0F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вносити пропозиції щодо вдосконалення роботи відділу.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2D3E0F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Відповідальність</w:t>
      </w:r>
    </w:p>
    <w:p w:rsidR="008240E1" w:rsidRPr="002D3E0F" w:rsidRDefault="002D3E0F">
      <w:pPr>
        <w:jc w:val="both"/>
        <w:rPr>
          <w:sz w:val="28"/>
          <w:szCs w:val="28"/>
        </w:rPr>
      </w:pPr>
      <w:r w:rsidRPr="002D3E0F">
        <w:rPr>
          <w:sz w:val="28"/>
          <w:szCs w:val="28"/>
        </w:rPr>
        <w:tab/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3E0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 відділу ведення Державного реєстру виборців Новгород-Сіверської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іської ради несе відповідальність за неякісне або несвоєчасне виконання посадових завдань та обов’язків, порушення норм етики поведінки, правил техніки безпеки й протипожежного захисту та за недотримання обмежень, передбачених Законом України “Про службу 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органах місцевого самоврядування”.</w:t>
      </w:r>
    </w:p>
    <w:p w:rsidR="008240E1" w:rsidRPr="002D3E0F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2D3E0F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Взаємовідносини</w:t>
      </w:r>
    </w:p>
    <w:p w:rsidR="008240E1" w:rsidRPr="002D3E0F" w:rsidRDefault="008240E1">
      <w:pPr>
        <w:jc w:val="center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3E0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спеціаліст відділу ведення Державного реєстру виборців Новгород-Сіверської міської ради у процесі виконання покладених на нього завдань взаємодіє з іншими структурними підрозділами міської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ради та органами місцевого самоврядування, територіальними органами міністерств та інших центральних органів виконавчої влади, а також з установами та організаціями з метою створення умов для провадження послідовної та узгодженої  діяльності щодо строків,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3E0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Виконує дорученні міського голови Новгород-Сіверської міської ради, секретаря міської ради, начальника відділ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у.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разі відсутності начальника відділу виконує його обов’язки, відповідно до розпорядження міського голови.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ПОГОДЖЕНО:</w:t>
      </w: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відділу ведення </w:t>
      </w:r>
    </w:p>
    <w:p w:rsidR="008240E1" w:rsidRDefault="002D3E0F">
      <w:pPr>
        <w:tabs>
          <w:tab w:val="left" w:pos="6946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Державного реєстру виборців міської ради                           К.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Парола</w:t>
      </w:r>
      <w:proofErr w:type="spellEnd"/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посадовою інструкцією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ознайомлений:</w:t>
      </w:r>
    </w:p>
    <w:p w:rsidR="008240E1" w:rsidRDefault="008240E1">
      <w:pPr>
        <w:jc w:val="both"/>
        <w:rPr>
          <w:rFonts w:ascii="Calibri" w:hAnsi="Calibri" w:cs="Calibri"/>
          <w:sz w:val="22"/>
          <w:szCs w:val="22"/>
        </w:rPr>
      </w:pPr>
    </w:p>
    <w:p w:rsidR="008240E1" w:rsidRDefault="002D3E0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спеціаліст відділу ведення </w:t>
      </w:r>
    </w:p>
    <w:p w:rsidR="008240E1" w:rsidRDefault="002D3E0F">
      <w:pPr>
        <w:tabs>
          <w:tab w:val="left" w:pos="6946"/>
        </w:tabs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Державного реєстру виборців міської ради                      С. Бондаренко</w:t>
      </w:r>
    </w:p>
    <w:p w:rsidR="008240E1" w:rsidRDefault="002D3E0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8240E1" w:rsidRDefault="008240E1"/>
    <w:sectPr w:rsidR="008240E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0E1"/>
    <w:rsid w:val="002D3E0F"/>
    <w:rsid w:val="008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F74D-2453-44CA-9110-960C127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qFormat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qFormat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qFormat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qFormat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customStyle="1" w:styleId="a4">
    <w:name w:val="Виділення"/>
    <w:basedOn w:val="a0"/>
    <w:qFormat/>
    <w:rsid w:val="00DC6CD7"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1267</Words>
  <Characters>7225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2021-05-07T06:01:00Z</dcterms:created>
  <dcterms:modified xsi:type="dcterms:W3CDTF">2021-05-14T05:06:00Z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